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7324" w14:textId="77777777" w:rsidR="00B613C4" w:rsidRDefault="00B613C4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</w:p>
    <w:p w14:paraId="61B11175" w14:textId="26242C6F" w:rsidR="00B613C4" w:rsidRDefault="00B613C4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>
        <w:rPr>
          <w:rFonts w:asciiTheme="minorHAnsi" w:hAnsiTheme="minorHAnsi" w:cstheme="minorHAnsi"/>
          <w:bCs/>
          <w:i/>
          <w:sz w:val="16"/>
          <w:szCs w:val="22"/>
        </w:rPr>
        <w:t>____________________________________,___________</w:t>
      </w:r>
    </w:p>
    <w:p w14:paraId="4697A588" w14:textId="60F78D9E" w:rsidR="008B7566" w:rsidRPr="00011BFF" w:rsidRDefault="0015290D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011BFF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42B6316A" w14:textId="77777777" w:rsidR="008B7566" w:rsidRPr="00011BFF" w:rsidRDefault="0015290D">
      <w:pPr>
        <w:pStyle w:val="Default"/>
        <w:ind w:left="10620" w:firstLine="708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011BFF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ZAMAWIAJĄCY </w:t>
      </w:r>
    </w:p>
    <w:p w14:paraId="629295A2" w14:textId="5206BA5B" w:rsidR="008B7566" w:rsidRPr="00011BFF" w:rsidRDefault="00A823B5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Skarb Państwa – </w:t>
      </w:r>
      <w:r w:rsidR="00993C62" w:rsidRPr="00011BFF">
        <w:rPr>
          <w:rFonts w:asciiTheme="minorHAnsi" w:hAnsiTheme="minorHAnsi" w:cstheme="minorHAnsi"/>
          <w:b/>
          <w:sz w:val="22"/>
          <w:szCs w:val="22"/>
        </w:rPr>
        <w:t>Sąd Okręgowy</w:t>
      </w:r>
    </w:p>
    <w:p w14:paraId="2C8357CC" w14:textId="77777777" w:rsidR="008B7566" w:rsidRPr="00011BFF" w:rsidRDefault="0015290D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011BFF">
        <w:rPr>
          <w:rFonts w:asciiTheme="minorHAnsi" w:hAnsiTheme="minorHAnsi" w:cstheme="minorHAnsi"/>
          <w:b/>
          <w:sz w:val="22"/>
          <w:szCs w:val="22"/>
        </w:rPr>
        <w:t xml:space="preserve">ul. </w:t>
      </w:r>
      <w:r w:rsidR="00993C62" w:rsidRPr="00011BFF">
        <w:rPr>
          <w:rFonts w:asciiTheme="minorHAnsi" w:hAnsiTheme="minorHAnsi" w:cstheme="minorHAnsi"/>
          <w:b/>
          <w:sz w:val="22"/>
          <w:szCs w:val="22"/>
        </w:rPr>
        <w:t>Dąbrowskiego 23/35</w:t>
      </w:r>
    </w:p>
    <w:p w14:paraId="45CBEED2" w14:textId="77777777" w:rsidR="008B7566" w:rsidRPr="00011BFF" w:rsidRDefault="0015290D">
      <w:pPr>
        <w:pStyle w:val="Default"/>
        <w:ind w:left="10620" w:firstLine="708"/>
        <w:rPr>
          <w:rFonts w:asciiTheme="minorHAnsi" w:hAnsiTheme="minorHAnsi" w:cstheme="minorHAnsi"/>
          <w:b/>
          <w:sz w:val="22"/>
          <w:szCs w:val="22"/>
        </w:rPr>
      </w:pPr>
      <w:r w:rsidRPr="00011BFF">
        <w:rPr>
          <w:rFonts w:asciiTheme="minorHAnsi" w:hAnsiTheme="minorHAnsi" w:cstheme="minorHAnsi"/>
          <w:b/>
          <w:sz w:val="22"/>
          <w:szCs w:val="22"/>
        </w:rPr>
        <w:t>42-200 Częstochowa</w:t>
      </w:r>
    </w:p>
    <w:p w14:paraId="54465514" w14:textId="77777777" w:rsidR="00B613C4" w:rsidRDefault="00B613C4" w:rsidP="00B613C4">
      <w:pPr>
        <w:pStyle w:val="Default"/>
        <w:jc w:val="both"/>
        <w:rPr>
          <w:rFonts w:asciiTheme="minorHAnsi" w:hAnsiTheme="minorHAnsi" w:cstheme="minorHAnsi"/>
          <w:b/>
          <w:bCs/>
          <w:szCs w:val="22"/>
        </w:rPr>
      </w:pPr>
    </w:p>
    <w:p w14:paraId="077B1A03" w14:textId="2D453D1D" w:rsidR="00B613C4" w:rsidRDefault="00B613C4" w:rsidP="00B613C4">
      <w:pPr>
        <w:pStyle w:val="Default"/>
        <w:jc w:val="both"/>
        <w:rPr>
          <w:rFonts w:asciiTheme="minorHAnsi" w:hAnsiTheme="minorHAnsi" w:cstheme="minorHAnsi"/>
          <w:bCs/>
          <w:sz w:val="20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WYKAZ USŁUG</w:t>
      </w:r>
      <w:r>
        <w:rPr>
          <w:rStyle w:val="Zakotwiczenieprzypisudolnego"/>
          <w:rFonts w:asciiTheme="minorHAnsi" w:hAnsiTheme="minorHAnsi" w:cstheme="minorHAnsi"/>
          <w:b/>
          <w:bCs/>
          <w:szCs w:val="22"/>
        </w:rPr>
        <w:footnoteReference w:id="1"/>
      </w:r>
      <w:r>
        <w:rPr>
          <w:rFonts w:asciiTheme="minorHAnsi" w:hAnsiTheme="minorHAnsi" w:cstheme="minorHAnsi"/>
          <w:b/>
          <w:bCs/>
          <w:sz w:val="20"/>
          <w:szCs w:val="22"/>
        </w:rPr>
        <w:t xml:space="preserve"> </w:t>
      </w:r>
      <w:r>
        <w:rPr>
          <w:rFonts w:asciiTheme="minorHAnsi" w:hAnsiTheme="minorHAnsi" w:cstheme="minorHAnsi"/>
          <w:bCs/>
          <w:sz w:val="20"/>
          <w:szCs w:val="22"/>
        </w:rPr>
        <w:t>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Wykonawcy. W przypadku świadczeń powtarzających się  lub ciągłych nadal wykonywanych referencje bądź inne dokumenty potwierdzające ich należyte wykonywanie powinny być wystawione w okresie ostatnich 3 miesięcy.</w:t>
      </w:r>
    </w:p>
    <w:tbl>
      <w:tblPr>
        <w:tblW w:w="15451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69"/>
        <w:gridCol w:w="3437"/>
        <w:gridCol w:w="2657"/>
        <w:gridCol w:w="2126"/>
        <w:gridCol w:w="3969"/>
        <w:gridCol w:w="2693"/>
      </w:tblGrid>
      <w:tr w:rsidR="00B613C4" w:rsidRPr="00011BFF" w14:paraId="793DC4F8" w14:textId="77777777" w:rsidTr="001F4EA5"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0E3550F" w14:textId="77777777" w:rsidR="00B613C4" w:rsidRPr="00011BFF" w:rsidRDefault="00B613C4" w:rsidP="00B613C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L.p.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2BE86FD7" w14:textId="19FBE7B3" w:rsidR="00B613C4" w:rsidRPr="00011BFF" w:rsidRDefault="00B613C4" w:rsidP="00B613C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Przedmiot usług</w:t>
            </w: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F17482D" w14:textId="16CFDD21" w:rsidR="00B613C4" w:rsidRPr="00011BFF" w:rsidRDefault="00B613C4" w:rsidP="00B613C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Wartość usług</w:t>
            </w:r>
            <w:r w:rsidR="001F4EA5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wg stanu na dzień składania ofert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B389B40" w14:textId="245BEB3B" w:rsidR="00B613C4" w:rsidRPr="00011BFF" w:rsidRDefault="00B613C4" w:rsidP="00B613C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Daty wykonania usług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15A8A2DF" w14:textId="6781A3C1" w:rsidR="00B613C4" w:rsidRPr="00011BFF" w:rsidRDefault="00B613C4" w:rsidP="00B613C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Podmiot, na rzecz którego usługi zostały wykonane lub są wykonywane</w:t>
            </w: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center"/>
          </w:tcPr>
          <w:p w14:paraId="017CF678" w14:textId="48ACB569" w:rsidR="00B613C4" w:rsidRPr="00011BFF" w:rsidRDefault="00B613C4" w:rsidP="00B613C4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0"/>
              </w:rPr>
              <w:t>UWAGI</w:t>
            </w:r>
          </w:p>
        </w:tc>
      </w:tr>
      <w:tr w:rsidR="00B613C4" w:rsidRPr="00011BFF" w14:paraId="49E3CEAF" w14:textId="77777777" w:rsidTr="001F4EA5">
        <w:trPr>
          <w:trHeight w:val="79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51BA5411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1.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437FD0B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2F38C47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74594E3D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netto/brutto*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11B812F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3737A7D7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6D2EACAF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B613C4" w:rsidRPr="00011BFF" w14:paraId="4A339364" w14:textId="77777777" w:rsidTr="001F4EA5">
        <w:trPr>
          <w:trHeight w:val="79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437CE032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2.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8B1C917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477C328C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02AC11BC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netto/brutto*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E3109DA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5A53BEA5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59C5B79A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  <w:tr w:rsidR="00B613C4" w:rsidRPr="00011BFF" w14:paraId="4E0028E6" w14:textId="77777777" w:rsidTr="001F4EA5">
        <w:trPr>
          <w:trHeight w:val="790"/>
        </w:trPr>
        <w:tc>
          <w:tcPr>
            <w:tcW w:w="5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3" w:type="dxa"/>
            </w:tcMar>
            <w:vAlign w:val="bottom"/>
          </w:tcPr>
          <w:p w14:paraId="37AA2D35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…</w:t>
            </w:r>
          </w:p>
        </w:tc>
        <w:tc>
          <w:tcPr>
            <w:tcW w:w="34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169527D8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32637EC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  <w:p w14:paraId="1C3C4A41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011BFF">
              <w:rPr>
                <w:rFonts w:asciiTheme="minorHAnsi" w:hAnsiTheme="minorHAnsi" w:cstheme="minorHAnsi"/>
                <w:b/>
                <w:sz w:val="22"/>
                <w:szCs w:val="20"/>
              </w:rPr>
              <w:t>netto/brutto*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4FF95A48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2C095E9D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3" w:type="dxa"/>
            </w:tcMar>
            <w:vAlign w:val="bottom"/>
          </w:tcPr>
          <w:p w14:paraId="7E7F7A6F" w14:textId="77777777" w:rsidR="00B613C4" w:rsidRPr="00011BFF" w:rsidRDefault="00B613C4" w:rsidP="00D63EB7">
            <w:pPr>
              <w:pStyle w:val="Default"/>
              <w:jc w:val="right"/>
              <w:rPr>
                <w:rFonts w:asciiTheme="minorHAnsi" w:hAnsiTheme="minorHAnsi" w:cstheme="minorHAnsi"/>
                <w:b/>
                <w:sz w:val="22"/>
                <w:szCs w:val="20"/>
              </w:rPr>
            </w:pPr>
          </w:p>
        </w:tc>
      </w:tr>
    </w:tbl>
    <w:p w14:paraId="772DDC63" w14:textId="77777777" w:rsidR="008B7566" w:rsidRPr="00B613C4" w:rsidRDefault="00D63EB7">
      <w:pPr>
        <w:pStyle w:val="Default"/>
        <w:rPr>
          <w:rFonts w:asciiTheme="minorHAnsi" w:hAnsiTheme="minorHAnsi" w:cstheme="minorHAnsi"/>
          <w:sz w:val="20"/>
          <w:szCs w:val="22"/>
        </w:rPr>
      </w:pPr>
      <w:r w:rsidRPr="00B613C4">
        <w:rPr>
          <w:rFonts w:asciiTheme="minorHAnsi" w:hAnsiTheme="minorHAnsi" w:cstheme="minorHAnsi"/>
          <w:sz w:val="20"/>
          <w:szCs w:val="22"/>
        </w:rPr>
        <w:t>*skreślić niepotrzebne</w:t>
      </w:r>
    </w:p>
    <w:p w14:paraId="356CC431" w14:textId="77777777" w:rsidR="00561B34" w:rsidRPr="00011BFF" w:rsidRDefault="00561B34" w:rsidP="00B613C4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2"/>
        </w:rPr>
      </w:pPr>
      <w:r w:rsidRPr="00011BFF">
        <w:rPr>
          <w:rFonts w:asciiTheme="minorHAnsi" w:hAnsiTheme="minorHAnsi" w:cstheme="minorHAnsi"/>
          <w:b/>
          <w:bCs/>
          <w:color w:val="FF0000"/>
          <w:sz w:val="22"/>
        </w:rPr>
        <w:t>!!!</w:t>
      </w:r>
    </w:p>
    <w:p w14:paraId="28AF59F4" w14:textId="4C059DED" w:rsidR="00561B34" w:rsidRPr="00011BFF" w:rsidRDefault="00561B34" w:rsidP="00561B34">
      <w:pPr>
        <w:pStyle w:val="Default"/>
        <w:jc w:val="center"/>
        <w:rPr>
          <w:rFonts w:asciiTheme="minorHAnsi" w:hAnsiTheme="minorHAnsi" w:cstheme="minorHAnsi"/>
          <w:sz w:val="18"/>
        </w:rPr>
      </w:pPr>
      <w:r w:rsidRPr="00011BFF">
        <w:rPr>
          <w:rFonts w:asciiTheme="minorHAnsi" w:hAnsiTheme="minorHAnsi" w:cstheme="minorHAnsi"/>
          <w:b/>
          <w:bCs/>
          <w:color w:val="FF0000"/>
          <w:sz w:val="14"/>
        </w:rPr>
        <w:t>Pod rygorem nieważności Wykonawca zobowiązany jest złożyć ofertę w formie elektronicznej lub w postaci elektronicznej,</w:t>
      </w:r>
      <w:r w:rsidR="00AA2D71"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 </w:t>
      </w:r>
      <w:r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 </w:t>
      </w:r>
      <w:r w:rsidRPr="00011BFF">
        <w:rPr>
          <w:rFonts w:asciiTheme="minorHAnsi" w:hAnsiTheme="minorHAnsi" w:cstheme="minorHAnsi"/>
          <w:b/>
          <w:bCs/>
          <w:color w:val="FF0000"/>
          <w:sz w:val="14"/>
          <w:u w:val="single"/>
        </w:rPr>
        <w:t>opatrzonej podpisem zaufanym lub podpisem osobistym</w:t>
      </w:r>
      <w:r w:rsidRPr="00011BFF">
        <w:rPr>
          <w:rFonts w:asciiTheme="minorHAnsi" w:hAnsiTheme="minorHAnsi" w:cstheme="minorHAnsi"/>
          <w:b/>
          <w:bCs/>
          <w:color w:val="FF0000"/>
          <w:sz w:val="14"/>
        </w:rPr>
        <w:t xml:space="preserve"> (art. 63 ust. 2 Ustawy PZP)</w:t>
      </w:r>
    </w:p>
    <w:sectPr w:rsidR="00561B34" w:rsidRPr="00011BFF">
      <w:headerReference w:type="default" r:id="rId8"/>
      <w:pgSz w:w="16838" w:h="11906" w:orient="landscape"/>
      <w:pgMar w:top="765" w:right="720" w:bottom="765" w:left="720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28E79" w14:textId="77777777" w:rsidR="00163018" w:rsidRDefault="00163018">
      <w:pPr>
        <w:spacing w:after="0" w:line="240" w:lineRule="auto"/>
      </w:pPr>
      <w:r>
        <w:separator/>
      </w:r>
    </w:p>
  </w:endnote>
  <w:endnote w:type="continuationSeparator" w:id="0">
    <w:p w14:paraId="33911A0A" w14:textId="77777777" w:rsidR="00163018" w:rsidRDefault="00163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5FCA6" w14:textId="77777777" w:rsidR="00163018" w:rsidRDefault="00163018">
      <w:r>
        <w:separator/>
      </w:r>
    </w:p>
  </w:footnote>
  <w:footnote w:type="continuationSeparator" w:id="0">
    <w:p w14:paraId="119B2D93" w14:textId="77777777" w:rsidR="00163018" w:rsidRDefault="00163018">
      <w:r>
        <w:continuationSeparator/>
      </w:r>
    </w:p>
  </w:footnote>
  <w:footnote w:id="1">
    <w:p w14:paraId="16A88C11" w14:textId="77777777" w:rsidR="001F4EA5" w:rsidRDefault="00B613C4" w:rsidP="001F4EA5">
      <w:pPr>
        <w:pStyle w:val="Przypisdolny"/>
        <w:spacing w:after="0" w:line="240" w:lineRule="auto"/>
        <w:jc w:val="both"/>
        <w:rPr>
          <w:b/>
          <w:sz w:val="16"/>
          <w:szCs w:val="18"/>
        </w:rPr>
      </w:pPr>
      <w:r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rPr>
          <w:rFonts w:asciiTheme="minorHAnsi" w:hAnsiTheme="minorHAnsi" w:cstheme="minorHAnsi"/>
          <w:sz w:val="16"/>
          <w:szCs w:val="16"/>
        </w:rPr>
        <w:t xml:space="preserve">Wykaz winien potwierdzać, że Wykonawca </w:t>
      </w:r>
      <w:r>
        <w:rPr>
          <w:rFonts w:asciiTheme="minorHAnsi" w:hAnsiTheme="minorHAnsi" w:cstheme="minorHAnsi"/>
          <w:color w:val="000000"/>
          <w:sz w:val="16"/>
          <w:szCs w:val="16"/>
        </w:rPr>
        <w:t xml:space="preserve">w okresie ostatnich 3 lat przed upływem terminu składania ofert, a jeżeli okres prowadzenia działalności jest krótszy, to w tym okresie, wykonał </w:t>
      </w:r>
      <w:r>
        <w:rPr>
          <w:rFonts w:asciiTheme="minorHAnsi" w:hAnsiTheme="minorHAnsi" w:cstheme="minorHAnsi"/>
          <w:color w:val="000000"/>
          <w:sz w:val="18"/>
          <w:szCs w:val="20"/>
        </w:rPr>
        <w:t>co najmniej</w:t>
      </w:r>
      <w:r w:rsidR="001F4EA5">
        <w:rPr>
          <w:rFonts w:asciiTheme="minorHAnsi" w:hAnsiTheme="minorHAnsi" w:cstheme="minorHAnsi"/>
          <w:color w:val="000000"/>
          <w:sz w:val="18"/>
          <w:szCs w:val="20"/>
        </w:rPr>
        <w:t xml:space="preserve"> </w:t>
      </w:r>
      <w:r w:rsidR="00A823B5" w:rsidRPr="001F4EA5">
        <w:rPr>
          <w:b/>
          <w:sz w:val="16"/>
          <w:szCs w:val="18"/>
        </w:rPr>
        <w:t>2</w:t>
      </w:r>
      <w:r w:rsidR="001F4EA5" w:rsidRPr="001F4EA5">
        <w:t xml:space="preserve"> </w:t>
      </w:r>
      <w:r w:rsidR="001F4EA5">
        <w:rPr>
          <w:b/>
          <w:sz w:val="16"/>
          <w:szCs w:val="18"/>
        </w:rPr>
        <w:t>(</w:t>
      </w:r>
      <w:r w:rsidR="001F4EA5" w:rsidRPr="001F4EA5">
        <w:rPr>
          <w:b/>
          <w:sz w:val="16"/>
          <w:szCs w:val="18"/>
        </w:rPr>
        <w:t>dwie</w:t>
      </w:r>
      <w:r w:rsidR="001F4EA5">
        <w:rPr>
          <w:b/>
          <w:sz w:val="16"/>
          <w:szCs w:val="18"/>
        </w:rPr>
        <w:t>)</w:t>
      </w:r>
      <w:r w:rsidR="001F4EA5" w:rsidRPr="001F4EA5">
        <w:rPr>
          <w:b/>
          <w:sz w:val="16"/>
          <w:szCs w:val="18"/>
        </w:rPr>
        <w:t xml:space="preserve"> usługi, polegające na świadczeniu usług konserwacyjnych urządzeń drukujących i/lub kopiujących, przez okres minimum 10 miesięcy, o wartości usług w tym zakresie nie mniejszej niż 150 000,00 złotych (sto pięćdziesiąt tysięcy złotych 00/100) brutto w tym okresie – dla każdej z wymaganych dwóch usług, każda w ramach jednej, odrębnej umowy/kontraktu;</w:t>
      </w:r>
      <w:r w:rsidR="00A823B5" w:rsidRPr="001F4EA5">
        <w:rPr>
          <w:b/>
          <w:sz w:val="16"/>
          <w:szCs w:val="18"/>
        </w:rPr>
        <w:t xml:space="preserve"> </w:t>
      </w:r>
    </w:p>
    <w:p w14:paraId="4B778525" w14:textId="47E38808" w:rsidR="001E454F" w:rsidRPr="001E454F" w:rsidRDefault="001E454F" w:rsidP="001E45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CDDC" w:themeFill="accent5" w:themeFillTint="99"/>
        <w:autoSpaceDE w:val="0"/>
        <w:autoSpaceDN w:val="0"/>
        <w:adjustRightInd w:val="0"/>
        <w:spacing w:after="47" w:line="240" w:lineRule="auto"/>
        <w:ind w:left="284"/>
        <w:jc w:val="both"/>
        <w:rPr>
          <w:color w:val="000000"/>
          <w:sz w:val="16"/>
          <w:szCs w:val="14"/>
        </w:rPr>
      </w:pPr>
      <w:r w:rsidRPr="001E454F">
        <w:rPr>
          <w:b/>
          <w:color w:val="000000"/>
          <w:sz w:val="16"/>
          <w:szCs w:val="14"/>
        </w:rPr>
        <w:t>UWAGA!!!</w:t>
      </w:r>
      <w:r w:rsidRPr="001E454F">
        <w:rPr>
          <w:color w:val="000000"/>
          <w:sz w:val="16"/>
          <w:szCs w:val="14"/>
        </w:rPr>
        <w:t xml:space="preserve"> W przypadku usług będących w trakcie wykonywania, wymagania w zakresie wartości i czasu wykonywania danej usługi dotyczą części umowy już zrealizowanej tj. od dnia rozpoczęcia wykonywania usługi do upływu terminu składania ofert) i te dane (wartość i czas) wykonawca zobowiązany jest podać w wykazie usług.</w:t>
      </w:r>
    </w:p>
    <w:p w14:paraId="134E6C6C" w14:textId="77777777" w:rsidR="00B613C4" w:rsidRDefault="00B613C4" w:rsidP="00B613C4">
      <w:pPr>
        <w:pStyle w:val="Przypisdolny"/>
        <w:spacing w:after="0" w:line="240" w:lineRule="auto"/>
        <w:jc w:val="both"/>
        <w:rPr>
          <w:rFonts w:ascii="Cambria" w:hAnsi="Cambria" w:cs="Arial"/>
          <w:color w:val="000000"/>
          <w:sz w:val="18"/>
          <w:szCs w:val="2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892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93"/>
      <w:gridCol w:w="11623"/>
      <w:gridCol w:w="1276"/>
    </w:tblGrid>
    <w:tr w:rsidR="00A823B5" w:rsidRPr="002114F0" w14:paraId="41FC9ED9" w14:textId="77777777" w:rsidTr="001F4EA5">
      <w:trPr>
        <w:cantSplit/>
        <w:trHeight w:val="254"/>
        <w:jc w:val="center"/>
      </w:trPr>
      <w:tc>
        <w:tcPr>
          <w:tcW w:w="993" w:type="dxa"/>
          <w:shd w:val="clear" w:color="auto" w:fill="FFFFFF" w:themeFill="background1"/>
          <w:vAlign w:val="center"/>
        </w:tcPr>
        <w:p w14:paraId="676B17D5" w14:textId="77777777" w:rsidR="00A823B5" w:rsidRPr="002114F0" w:rsidRDefault="00A823B5" w:rsidP="00A823B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sz w:val="14"/>
              <w:szCs w:val="14"/>
              <w:lang w:eastAsia="pl-PL"/>
            </w:rPr>
          </w:pPr>
          <w:bookmarkStart w:id="0" w:name="_Hlk160789009"/>
          <w:r w:rsidRPr="002114F0">
            <w:rPr>
              <w:rFonts w:asciiTheme="minorHAnsi" w:eastAsia="Times New Roman" w:hAnsiTheme="minorHAnsi" w:cstheme="minorHAnsi"/>
              <w:sz w:val="14"/>
              <w:szCs w:val="14"/>
              <w:lang w:eastAsia="pl-PL"/>
            </w:rPr>
            <w:t>Nr sprawy:</w:t>
          </w:r>
        </w:p>
        <w:p w14:paraId="127E4443" w14:textId="1540FE04" w:rsidR="00A823B5" w:rsidRPr="002114F0" w:rsidRDefault="00A823B5" w:rsidP="00A823B5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 w:rsidR="001F4EA5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</w:t>
          </w:r>
          <w:r w:rsidR="001F4EA5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6</w:t>
          </w:r>
        </w:p>
      </w:tc>
      <w:tc>
        <w:tcPr>
          <w:tcW w:w="11623" w:type="dxa"/>
          <w:shd w:val="clear" w:color="auto" w:fill="FFFFFF" w:themeFill="background1"/>
          <w:vAlign w:val="center"/>
        </w:tcPr>
        <w:p w14:paraId="110D77D0" w14:textId="77777777" w:rsidR="00A823B5" w:rsidRDefault="00A823B5" w:rsidP="00A823B5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4CBA2640" w14:textId="449D2E82" w:rsidR="00A823B5" w:rsidRPr="002114F0" w:rsidRDefault="00A823B5" w:rsidP="001F4EA5">
          <w:pPr>
            <w:spacing w:after="0" w:line="240" w:lineRule="auto"/>
            <w:jc w:val="center"/>
            <w:outlineLvl w:val="0"/>
            <w:rPr>
              <w:rFonts w:asciiTheme="minorHAnsi" w:eastAsia="Times New Roman" w:hAnsiTheme="minorHAnsi" w:cstheme="minorHAnsi"/>
              <w:bCs/>
              <w:sz w:val="14"/>
              <w:szCs w:val="14"/>
              <w:lang w:val="de-DE" w:eastAsia="pl-PL"/>
            </w:rPr>
          </w:pPr>
          <w:r w:rsidRPr="002114F0">
            <w:rPr>
              <w:rFonts w:asciiTheme="minorHAnsi" w:eastAsia="Times New Roman" w:hAnsiTheme="minorHAnsi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="001F4EA5" w:rsidRPr="001F4EA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 xml:space="preserve">USŁUGI – Kompleksowa usługa zapewnienia ciągłości pracy urządzeń drukujących oraz jakości wydruków/kopii, wykonywanych przez te urządzenia, </w:t>
          </w:r>
          <w:r w:rsidR="001F4EA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br/>
          </w:r>
          <w:r w:rsidR="001F4EA5" w:rsidRPr="001F4EA5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na potrzeby Sądu Okręgowego w Częstochowie i Sądu Rejonowego w Lublińcu</w:t>
          </w:r>
          <w:r w:rsidRPr="002114F0">
            <w:rPr>
              <w:rFonts w:asciiTheme="minorHAnsi" w:hAnsiTheme="minorHAnsi"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276" w:type="dxa"/>
          <w:shd w:val="clear" w:color="auto" w:fill="FFFFFF" w:themeFill="background1"/>
          <w:vAlign w:val="center"/>
        </w:tcPr>
        <w:p w14:paraId="1C5A4E3A" w14:textId="4F20D487" w:rsidR="00A823B5" w:rsidRPr="002114F0" w:rsidRDefault="00A823B5" w:rsidP="00A823B5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Załącznik nr 6 do </w:t>
          </w:r>
          <w:r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4F77CCE7" w14:textId="77777777" w:rsidR="00A823B5" w:rsidRPr="002114F0" w:rsidRDefault="00A823B5" w:rsidP="00A823B5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Theme="minorHAnsi" w:eastAsia="Times New Roman" w:hAnsiTheme="minorHAnsi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asciiTheme="minorHAnsi" w:hAnsiTheme="minorHAnsi" w:cstheme="minorHAnsi"/>
              <w:sz w:val="14"/>
              <w:szCs w:val="14"/>
            </w:rPr>
            <w:t xml:space="preserve">Strona 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asciiTheme="minorHAnsi" w:hAnsiTheme="minorHAnsi" w:cstheme="minorHAnsi"/>
              <w:sz w:val="14"/>
              <w:szCs w:val="14"/>
            </w:rPr>
            <w:t xml:space="preserve"> z 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asciiTheme="minorHAnsi" w:hAnsiTheme="minorHAnsi"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0"/>
  </w:tbl>
  <w:p w14:paraId="2145F313" w14:textId="77777777" w:rsidR="008B7566" w:rsidRPr="00AA2D71" w:rsidRDefault="008B7566" w:rsidP="00AA2D71">
    <w:pPr>
      <w:pStyle w:val="Gwk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94614"/>
    <w:multiLevelType w:val="multilevel"/>
    <w:tmpl w:val="E4E26724"/>
    <w:name w:val="WW8Num1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trike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Theme="majorHAnsi" w:eastAsia="Times New Roman" w:hAnsiTheme="majorHAnsi" w:cs="Times New Roman" w:hint="default"/>
        <w:b/>
        <w:sz w:val="28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4183A7E"/>
    <w:multiLevelType w:val="hybridMultilevel"/>
    <w:tmpl w:val="3220603A"/>
    <w:lvl w:ilvl="0" w:tplc="2012C9BE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1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566"/>
    <w:rsid w:val="00011BFF"/>
    <w:rsid w:val="000539D5"/>
    <w:rsid w:val="00076801"/>
    <w:rsid w:val="000768AE"/>
    <w:rsid w:val="000D4D75"/>
    <w:rsid w:val="0015290D"/>
    <w:rsid w:val="00163018"/>
    <w:rsid w:val="0017139D"/>
    <w:rsid w:val="001A1897"/>
    <w:rsid w:val="001A3469"/>
    <w:rsid w:val="001E454F"/>
    <w:rsid w:val="001E472E"/>
    <w:rsid w:val="001F0F94"/>
    <w:rsid w:val="001F4EA5"/>
    <w:rsid w:val="00237C41"/>
    <w:rsid w:val="0046334C"/>
    <w:rsid w:val="00561B34"/>
    <w:rsid w:val="005A44FD"/>
    <w:rsid w:val="00687FD5"/>
    <w:rsid w:val="008064E9"/>
    <w:rsid w:val="008B7566"/>
    <w:rsid w:val="00926664"/>
    <w:rsid w:val="00993C62"/>
    <w:rsid w:val="00A823B5"/>
    <w:rsid w:val="00AA2D71"/>
    <w:rsid w:val="00B0146F"/>
    <w:rsid w:val="00B613C4"/>
    <w:rsid w:val="00BA5EF6"/>
    <w:rsid w:val="00C52453"/>
    <w:rsid w:val="00D63EB7"/>
    <w:rsid w:val="00D86857"/>
    <w:rsid w:val="00DD3D5D"/>
    <w:rsid w:val="00EB2C17"/>
    <w:rsid w:val="00EE4CB1"/>
    <w:rsid w:val="00FD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EF92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uppressAutoHyphens/>
      <w:spacing w:after="160" w:line="259" w:lineRule="auto"/>
    </w:pPr>
    <w:rPr>
      <w:color w:val="00000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1BFF"/>
    <w:pPr>
      <w:keepNext/>
      <w:keepLines/>
      <w:suppressAutoHyphens w:val="0"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Wcicietrecitekstu"/>
    <w:uiPriority w:val="99"/>
    <w:rsid w:val="00C50BB8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character" w:customStyle="1" w:styleId="ListLabel1">
    <w:name w:val="ListLabel 1"/>
    <w:rPr>
      <w:b/>
      <w:i w:val="0"/>
      <w:color w:val="00000A"/>
      <w:sz w:val="22"/>
      <w:szCs w:val="22"/>
    </w:rPr>
  </w:style>
  <w:style w:type="character" w:customStyle="1" w:styleId="ListLabel2">
    <w:name w:val="ListLabel 2"/>
    <w:rPr>
      <w:b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dolnych">
    <w:name w:val="Znaki przypisów dolnych"/>
  </w:style>
  <w:style w:type="character" w:customStyle="1" w:styleId="Znakiprzypiswkocowych">
    <w:name w:val="Znaki przypisów końcowych"/>
  </w:style>
  <w:style w:type="paragraph" w:styleId="Nagwek">
    <w:name w:val="header"/>
    <w:basedOn w:val="Normalny"/>
    <w:next w:val="Tretekstu"/>
    <w:link w:val="NagwekZnak"/>
    <w:uiPriority w:val="9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efault">
    <w:name w:val="Default"/>
    <w:uiPriority w:val="99"/>
    <w:rsid w:val="00C50BB8"/>
    <w:pPr>
      <w:suppressAutoHyphens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Gwka">
    <w:name w:val="Główka"/>
    <w:basedOn w:val="Normalny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cicietrecitekstu">
    <w:name w:val="Wcięcie treści tekstu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5A78E1"/>
    <w:pPr>
      <w:spacing w:after="28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rzypisdolny">
    <w:name w:val="Przypis dolny"/>
    <w:basedOn w:val="Normalny"/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59"/>
    <w:rsid w:val="00C50BB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uiPriority w:val="99"/>
    <w:rsid w:val="001A3469"/>
  </w:style>
  <w:style w:type="character" w:customStyle="1" w:styleId="Nagwek6Znak">
    <w:name w:val="Nagłówek 6 Znak"/>
    <w:basedOn w:val="Domylnaczcionkaakapitu"/>
    <w:link w:val="Nagwek6"/>
    <w:uiPriority w:val="9"/>
    <w:semiHidden/>
    <w:rsid w:val="00011BF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11BFF"/>
    <w:pPr>
      <w:suppressAutoHyphens w:val="0"/>
      <w:spacing w:after="120"/>
    </w:pPr>
    <w:rPr>
      <w:rFonts w:asciiTheme="minorHAnsi" w:eastAsiaTheme="minorHAnsi" w:hAnsiTheme="minorHAnsi" w:cstheme="minorBidi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11BFF"/>
    <w:rPr>
      <w:rFonts w:asciiTheme="minorHAnsi" w:eastAsiaTheme="minorHAnsi" w:hAnsiTheme="minorHAnsi" w:cstheme="minorBidi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011BFF"/>
    <w:rPr>
      <w:color w:val="00000A"/>
    </w:rPr>
  </w:style>
  <w:style w:type="character" w:styleId="Hipercze">
    <w:name w:val="Hyperlink"/>
    <w:basedOn w:val="Domylnaczcionkaakapitu"/>
    <w:uiPriority w:val="99"/>
    <w:rsid w:val="00011BF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07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F3747-87C4-4792-8228-F9E29F00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2025-11-12T14:03:00Z</dcterms:created>
  <dcterms:modified xsi:type="dcterms:W3CDTF">2026-01-22T07:49:00Z</dcterms:modified>
  <dc:language/>
</cp:coreProperties>
</file>